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805B" w14:textId="25DF91B4" w:rsidR="00A87F45" w:rsidRPr="00BC4003" w:rsidRDefault="00D617C7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Załącznik nr </w:t>
      </w:r>
      <w:r w:rsidR="00E026C4">
        <w:rPr>
          <w:rFonts w:asciiTheme="minorHAnsi" w:hAnsiTheme="minorHAnsi" w:cstheme="minorHAnsi"/>
          <w:b/>
          <w:sz w:val="28"/>
          <w:szCs w:val="28"/>
        </w:rPr>
        <w:t>9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WY Pzp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69C16986" w14:textId="77777777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PODSTAWACH WYKLUCZENIA Z POSTĘPOWANIA NA PODSTAWIE ART. 5K) ROZPORZĄDZENIA RADY (UE) NR 833/2014 Z DNIA 31 LIPCA 2014 R.;</w:t>
      </w:r>
    </w:p>
    <w:p w14:paraId="3BFA298C" w14:textId="220D8BA9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ART. 7 UST. 1 USTAWY Z DNIA 13 KWIETNIA 2022 R. O SZCZEGÓLNYCH ROZWIĄZANIACH </w:t>
      </w:r>
      <w:r w:rsidR="00DA7E9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2F630871" w14:textId="7777777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3,</w:t>
      </w:r>
    </w:p>
    <w:p w14:paraId="25D66BFE" w14:textId="7777777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4 , dotyczących orzeczenia zakazu ubiegania się o zamówienie publiczne tytułem środka zapobiegawczego, </w:t>
      </w:r>
    </w:p>
    <w:p w14:paraId="60145CC2" w14:textId="7B2522A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art. 108 ust. 1 pkt 5, dotyczących zawarcia z innymi wykonawcami porozumienia mającego </w:t>
      </w:r>
      <w:r w:rsidR="00E8462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            </w:t>
      </w: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na celu zakłócenie konkurencji,</w:t>
      </w:r>
    </w:p>
    <w:p w14:paraId="4E763ADF" w14:textId="291AAF47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art. 108 ust. 1 pkt 6</w:t>
      </w:r>
      <w:r w:rsidR="00C1330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</w:t>
      </w:r>
      <w:r w:rsidRPr="009B4E4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140415DE" w14:textId="7DE896E4" w:rsidR="00B867B0" w:rsidRPr="00510EEE" w:rsidRDefault="00510EEE" w:rsidP="00DA7E98">
      <w:pPr>
        <w:pStyle w:val="Akapitzlist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0EEE"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</w:t>
      </w:r>
      <w:r w:rsidR="00B867B0" w:rsidRPr="00510EEE">
        <w:rPr>
          <w:rFonts w:asciiTheme="minorHAnsi" w:hAnsiTheme="minorHAnsi" w:cstheme="minorHAnsi"/>
          <w:b/>
          <w:sz w:val="22"/>
          <w:szCs w:val="22"/>
          <w:u w:val="single"/>
        </w:rPr>
        <w:t>na podstawie art. 5k)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510EEE">
        <w:rPr>
          <w:rFonts w:asciiTheme="minorHAnsi" w:hAnsiTheme="minorHAnsi" w:cstheme="minorHAnsi"/>
          <w:sz w:val="22"/>
          <w:szCs w:val="22"/>
        </w:rPr>
        <w:t>rozporządzenia Rady (UE) nr 833/2014 z dnia 31 lipca 2014 r. dotyczącego środków ograniczających w związku z działaniami Rosji destabilizującymi sytuację na Ukrainie (Dz. Urz. UE nr L 229 z 31.7.2014, str. 1), dalej: rozporządzenie 833/2014, w brzmieniu nadanym rozporządzeniem Rady (UE) 2022/576 w sprawie zmiany rozporządzenia (UE) nr 833/2014 dotyczącego środków ograniczających w związku z działaniami Rosji destabilizującymi sytuację na Ukrainie (Dz. Urz. UE nr L 111 z 8.4.2022, str. 1);</w:t>
      </w:r>
    </w:p>
    <w:p w14:paraId="7BC7B00D" w14:textId="30160021" w:rsidR="00B867B0" w:rsidRPr="00510EEE" w:rsidRDefault="00510EEE" w:rsidP="00DA7E98">
      <w:pPr>
        <w:tabs>
          <w:tab w:val="left" w:pos="426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867B0" w:rsidRPr="00510EEE">
        <w:rPr>
          <w:rFonts w:asciiTheme="minorHAnsi" w:hAnsiTheme="minorHAnsi" w:cstheme="minorHAnsi"/>
          <w:sz w:val="22"/>
          <w:szCs w:val="22"/>
        </w:rPr>
        <w:t>Niniejsze oświadczenie potwierdza, Wykonawca nie jest:</w:t>
      </w:r>
    </w:p>
    <w:p w14:paraId="36B9CAB9" w14:textId="77777777" w:rsidR="00B867B0" w:rsidRPr="00510EEE" w:rsidRDefault="00B867B0" w:rsidP="00DA7E98">
      <w:pPr>
        <w:numPr>
          <w:ilvl w:val="0"/>
          <w:numId w:val="10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obywatelem rosyjskim, osobą fizyczną lub prawną, podmiotem lub organem z siedzibą w Rosji;</w:t>
      </w:r>
    </w:p>
    <w:p w14:paraId="10A2F98C" w14:textId="77777777" w:rsidR="00B867B0" w:rsidRPr="00510EEE" w:rsidRDefault="00B867B0" w:rsidP="00DA7E98">
      <w:pPr>
        <w:numPr>
          <w:ilvl w:val="0"/>
          <w:numId w:val="10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osobą prawną, podmiotem lub organem, do których prawa własności bezpośrednio lub pośrednio w ponad 50 % należą do obywateli rosyjskich lub osób fizycznych lub prawnych, podmiotów lub organów z siedzibą w Rosji;</w:t>
      </w:r>
    </w:p>
    <w:p w14:paraId="574C1745" w14:textId="77777777" w:rsidR="00B867B0" w:rsidRPr="00510EEE" w:rsidRDefault="00B867B0" w:rsidP="00DA7E98">
      <w:pPr>
        <w:numPr>
          <w:ilvl w:val="0"/>
          <w:numId w:val="10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lastRenderedPageBreak/>
        <w:t>osobą fizyczną lub prawną, podmiotem lub organem działającym w imieniu lub pod kierunkiem:</w:t>
      </w:r>
    </w:p>
    <w:p w14:paraId="1D25A0BD" w14:textId="77777777" w:rsidR="00B867B0" w:rsidRPr="00510EEE" w:rsidRDefault="00B867B0" w:rsidP="00DA7E98">
      <w:pPr>
        <w:numPr>
          <w:ilvl w:val="0"/>
          <w:numId w:val="11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obywateli rosyjskich lub osób fizycznych lub prawnych, podmiotów lub organów z siedzibą w Rosji lub</w:t>
      </w:r>
    </w:p>
    <w:p w14:paraId="47943100" w14:textId="77777777" w:rsidR="00B867B0" w:rsidRPr="00510EEE" w:rsidRDefault="00B867B0" w:rsidP="00DA7E98">
      <w:pPr>
        <w:numPr>
          <w:ilvl w:val="0"/>
          <w:numId w:val="11"/>
        </w:num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osób prawnych, podmiotów lub organów, do których prawa własności bezpośrednio lub pośrednio w ponad 50 % należą do obywateli rosyjskich lub osób fizycznych lub prawnych, podmiotów lub organów z siedzibą w Rosji,</w:t>
      </w:r>
    </w:p>
    <w:p w14:paraId="1B28ABA3" w14:textId="77777777" w:rsidR="00B867B0" w:rsidRPr="00510EEE" w:rsidRDefault="00B867B0" w:rsidP="00DA7E98">
      <w:pPr>
        <w:tabs>
          <w:tab w:val="left" w:pos="709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0EEE">
        <w:rPr>
          <w:rFonts w:asciiTheme="minorHAnsi" w:hAnsiTheme="minorHAnsi" w:cstheme="minorHAnsi"/>
          <w:sz w:val="22"/>
          <w:szCs w:val="22"/>
        </w:rPr>
        <w:t>oraz że żaden z jego podwykonawców, dostawców i podmiotów, na których zdolności Wykonawca polega – w przypadku gdy przypada na nich ponad 10 % wartości zamówienia – nie należy do żadnej z powyższych kategorii podmiotów.</w:t>
      </w:r>
    </w:p>
    <w:p w14:paraId="024D4F81" w14:textId="77777777" w:rsidR="00B867B0" w:rsidRPr="00510EEE" w:rsidRDefault="00B867B0" w:rsidP="00B867B0">
      <w:pPr>
        <w:tabs>
          <w:tab w:val="left" w:pos="70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C308FC" w14:textId="47B7741D" w:rsidR="004C3C6B" w:rsidRPr="00510EEE" w:rsidRDefault="00DA7E98" w:rsidP="00DA7E98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zakresie braku podstaw wykluczenia z postępowania </w:t>
      </w:r>
      <w:r w:rsidR="00B867B0" w:rsidRPr="00510EEE">
        <w:rPr>
          <w:rFonts w:asciiTheme="minorHAnsi" w:hAnsiTheme="minorHAnsi" w:cstheme="minorHAnsi"/>
          <w:b/>
          <w:sz w:val="22"/>
          <w:szCs w:val="22"/>
          <w:u w:val="single"/>
        </w:rPr>
        <w:t>na podstawie art. 7 ust. 1</w:t>
      </w:r>
      <w:r w:rsidR="00B867B0" w:rsidRPr="0051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67B0" w:rsidRPr="00510EEE">
        <w:rPr>
          <w:rFonts w:asciiTheme="minorHAnsi" w:hAnsiTheme="minorHAnsi" w:cstheme="minorHAnsi"/>
          <w:sz w:val="22"/>
          <w:szCs w:val="22"/>
        </w:rPr>
        <w:t>ustawy z dnia 13 kwietnia 2022 r. o szczególnych rozwiązaniach w zakresie przeciwdziałania wspieraniu agresji na Ukrainę oraz służących ochronie bezpieczeństwa narodowego.</w:t>
      </w:r>
    </w:p>
    <w:p w14:paraId="14FFCD0A" w14:textId="44697E0A" w:rsidR="00A87F45" w:rsidRPr="00510EEE" w:rsidRDefault="00A87F45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7E0D" w14:textId="77777777" w:rsidR="00166B3B" w:rsidRPr="00A87F45" w:rsidRDefault="00E026C4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4C3C6B"/>
    <w:rsid w:val="00510EEE"/>
    <w:rsid w:val="00527023"/>
    <w:rsid w:val="00530309"/>
    <w:rsid w:val="005F6BCE"/>
    <w:rsid w:val="006C513D"/>
    <w:rsid w:val="00725C76"/>
    <w:rsid w:val="00745ADA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65E57"/>
    <w:rsid w:val="00C84264"/>
    <w:rsid w:val="00D617C7"/>
    <w:rsid w:val="00DA7E98"/>
    <w:rsid w:val="00E026C4"/>
    <w:rsid w:val="00E84626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10</cp:revision>
  <cp:lastPrinted>2022-08-26T09:27:00Z</cp:lastPrinted>
  <dcterms:created xsi:type="dcterms:W3CDTF">2022-02-09T13:25:00Z</dcterms:created>
  <dcterms:modified xsi:type="dcterms:W3CDTF">2022-09-23T10:34:00Z</dcterms:modified>
</cp:coreProperties>
</file>